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16" w:rsidRPr="009874A5" w:rsidRDefault="00D86216" w:rsidP="00397564">
      <w:pPr>
        <w:pStyle w:val="Nagwek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D998AC" wp14:editId="13C2BDBA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</w:t>
                            </w:r>
                            <w:r w:rsidR="007B4D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109</w:t>
                            </w:r>
                            <w:r w:rsidR="00D37B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</w:t>
                            </w:r>
                            <w:r w:rsidR="007B4D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19.02.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</w:t>
                      </w:r>
                      <w:r w:rsidR="007B4D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109</w:t>
                      </w:r>
                      <w:r w:rsidR="00D37B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</w:t>
                      </w:r>
                      <w:r w:rsidR="007B4D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19.02.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D83C72" w:rsidRPr="00397564" w:rsidRDefault="009D0C83" w:rsidP="00397564">
      <w:pPr>
        <w:pStyle w:val="Nagwek4"/>
        <w:rPr>
          <w:sz w:val="24"/>
          <w:szCs w:val="24"/>
        </w:rPr>
      </w:pPr>
      <w:r>
        <w:rPr>
          <w:b w:val="0"/>
          <w:sz w:val="24"/>
          <w:szCs w:val="24"/>
        </w:rPr>
        <w:t>na powierzenie w  2019 roku</w:t>
      </w:r>
      <w:r w:rsidR="00D37B4A" w:rsidRPr="00B91661">
        <w:rPr>
          <w:b w:val="0"/>
          <w:sz w:val="24"/>
          <w:szCs w:val="24"/>
        </w:rPr>
        <w:t xml:space="preserve"> realizacji przez organizacje pozarządowe</w:t>
      </w:r>
      <w:r w:rsidR="00D37B4A">
        <w:rPr>
          <w:b w:val="0"/>
          <w:sz w:val="24"/>
          <w:szCs w:val="24"/>
        </w:rPr>
        <w:t xml:space="preserve"> i inne uprawnione podmioty</w:t>
      </w:r>
      <w:r w:rsidR="00D37B4A" w:rsidRPr="00B91661">
        <w:rPr>
          <w:b w:val="0"/>
          <w:sz w:val="24"/>
          <w:szCs w:val="24"/>
        </w:rPr>
        <w:t xml:space="preserve"> zadań publicznych </w:t>
      </w:r>
      <w:r w:rsidR="00D37B4A">
        <w:rPr>
          <w:sz w:val="24"/>
          <w:szCs w:val="24"/>
        </w:rPr>
        <w:t>z zakresu kultury, sztuki, ochrony dóbr kultury i dziedzictwa narodowego</w:t>
      </w:r>
      <w:r w:rsidR="00397564">
        <w:rPr>
          <w:sz w:val="24"/>
          <w:szCs w:val="24"/>
        </w:rPr>
        <w:t xml:space="preserve">  </w:t>
      </w:r>
      <w:r w:rsidR="00D83C72" w:rsidRPr="00D37B4A">
        <w:rPr>
          <w:b w:val="0"/>
          <w:szCs w:val="22"/>
        </w:rPr>
        <w:t>skierowany do:</w:t>
      </w:r>
    </w:p>
    <w:p w:rsidR="00D86216" w:rsidRPr="00D83C72" w:rsidRDefault="00D86216" w:rsidP="00D86216"/>
    <w:p w:rsidR="00D86216" w:rsidRPr="00623439" w:rsidRDefault="00D86216" w:rsidP="00623439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zm.); </w:t>
      </w:r>
      <w:bookmarkStart w:id="0" w:name="_GoBack"/>
      <w:bookmarkEnd w:id="0"/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0C1527" w:rsidRDefault="000C1527" w:rsidP="00D86216">
      <w:pPr>
        <w:rPr>
          <w:rFonts w:ascii="Times New Roman" w:hAnsi="Times New Roman"/>
          <w:b/>
          <w:sz w:val="22"/>
          <w:szCs w:val="22"/>
        </w:rPr>
      </w:pPr>
    </w:p>
    <w:p w:rsidR="000C1527" w:rsidRDefault="000C1527" w:rsidP="00D8621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ZADANIE 1 - PIASTONALIA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>Nazwa zadania publicznego:</w:t>
      </w:r>
      <w:r w:rsidR="00953125">
        <w:rPr>
          <w:rFonts w:ascii="Times New Roman" w:hAnsi="Times New Roman"/>
          <w:b/>
          <w:sz w:val="22"/>
          <w:szCs w:val="22"/>
        </w:rPr>
        <w:t xml:space="preserve"> </w:t>
      </w:r>
      <w:r w:rsidR="00D37B4A">
        <w:rPr>
          <w:rFonts w:ascii="Times New Roman" w:hAnsi="Times New Roman"/>
          <w:szCs w:val="24"/>
        </w:rPr>
        <w:t>Kultura, sztuka, ochrona dóbr kultury i dziedzictwa narodowego</w:t>
      </w:r>
      <w:r w:rsidR="00390769">
        <w:rPr>
          <w:rFonts w:ascii="Times New Roman" w:hAnsi="Times New Roman"/>
          <w:szCs w:val="24"/>
        </w:rPr>
        <w:t>.</w:t>
      </w:r>
    </w:p>
    <w:p w:rsidR="00FF3CF1" w:rsidRPr="000C1527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 w:rsidR="009D0C83">
        <w:rPr>
          <w:rFonts w:ascii="Times New Roman" w:hAnsi="Times New Roman"/>
          <w:sz w:val="22"/>
          <w:szCs w:val="22"/>
        </w:rPr>
        <w:t xml:space="preserve">Upowszechnienie i rozwój kultury – </w:t>
      </w:r>
      <w:r w:rsidR="009D0C83" w:rsidRPr="000C1527">
        <w:rPr>
          <w:rFonts w:ascii="Times New Roman" w:hAnsi="Times New Roman"/>
          <w:sz w:val="22"/>
          <w:szCs w:val="22"/>
        </w:rPr>
        <w:t>PIASTONALIA</w:t>
      </w:r>
      <w:r w:rsidR="009D0C83" w:rsidRPr="000C1527">
        <w:rPr>
          <w:rFonts w:ascii="Times New Roman" w:hAnsi="Times New Roman"/>
          <w:b/>
          <w:sz w:val="22"/>
          <w:szCs w:val="22"/>
        </w:rPr>
        <w:t xml:space="preserve"> </w:t>
      </w:r>
    </w:p>
    <w:p w:rsidR="00953125" w:rsidRPr="009D0C83" w:rsidRDefault="00FF3CF1" w:rsidP="009D0C83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  <w:r w:rsidR="009D0C83" w:rsidRPr="009D0C83">
        <w:rPr>
          <w:rFonts w:ascii="Times New Roman" w:hAnsi="Times New Roman"/>
          <w:sz w:val="22"/>
          <w:szCs w:val="22"/>
        </w:rPr>
        <w:t>Organizowanie m.in. festiwali, przeglądów, gier, prezentacji, wystaw, konkursów, plenerów, warsztatów i koncertów</w:t>
      </w:r>
      <w:r w:rsidR="009D0C83">
        <w:rPr>
          <w:rFonts w:ascii="Times New Roman" w:hAnsi="Times New Roman"/>
          <w:sz w:val="22"/>
          <w:szCs w:val="22"/>
        </w:rPr>
        <w:t>.</w:t>
      </w: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D37B4A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Opola</w:t>
      </w:r>
      <w:r w:rsidR="00953125">
        <w:rPr>
          <w:rFonts w:ascii="Times New Roman" w:hAnsi="Times New Roman"/>
          <w:sz w:val="22"/>
          <w:szCs w:val="22"/>
        </w:rPr>
        <w:t>.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1) zakup nieruchomości gruntowej, lokalowej, budowlanej;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2) amortyzacja;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3) leasing;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4) ubezpieczenia wykraczające poza zakres realizowanego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5) rezerwy na pokrycie strat lub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6) odsetki z tytułu niezapłaconych w terminie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7) koszty wszelkich kar i grzywien;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8) nagrody, premie i inne formy bonifikaty rzeczowej lub finansowej dla osób zajmujących  się  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    realizacją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9) działalność gospodarcza podmiotu;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10) działalność polityczna i religijna;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390769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390769">
        <w:rPr>
          <w:rFonts w:ascii="Times New Roman" w:hAnsi="Times New Roman"/>
          <w:sz w:val="22"/>
          <w:szCs w:val="22"/>
        </w:rPr>
        <w:t xml:space="preserve">administracyjne zadania powyżej 10% wysokości otrzymanej przez organizację </w:t>
      </w:r>
    </w:p>
    <w:p w:rsid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390769">
        <w:rPr>
          <w:rFonts w:ascii="Times New Roman" w:hAnsi="Times New Roman"/>
          <w:sz w:val="22"/>
          <w:szCs w:val="22"/>
        </w:rPr>
        <w:t xml:space="preserve">      pozarządową dotacji.</w:t>
      </w:r>
    </w:p>
    <w:p w:rsidR="00D37B4A" w:rsidRDefault="00C55FA6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</w:t>
      </w:r>
      <w:r w:rsidR="00D37B4A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rzeznaczonych na</w:t>
      </w:r>
      <w:r w:rsidR="000C1527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 powierzenie </w:t>
      </w:r>
      <w:r w:rsidR="00D37B4A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 re</w:t>
      </w:r>
      <w:r w:rsidR="000C1527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alizacji zadania</w:t>
      </w:r>
      <w:r w:rsidR="00D37B4A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: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493478">
        <w:rPr>
          <w:rFonts w:ascii="Times New Roman" w:hAnsi="Times New Roman"/>
          <w:b/>
          <w:sz w:val="22"/>
          <w:szCs w:val="22"/>
        </w:rPr>
        <w:t xml:space="preserve"> </w:t>
      </w:r>
    </w:p>
    <w:p w:rsidR="00623439" w:rsidRDefault="000C1527" w:rsidP="000C1527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130.000 zł </w:t>
      </w:r>
      <w:r w:rsidRPr="000C1527">
        <w:rPr>
          <w:rFonts w:ascii="Times New Roman" w:hAnsi="Times New Roman"/>
          <w:sz w:val="22"/>
          <w:szCs w:val="22"/>
        </w:rPr>
        <w:t>( słownie: sto trzydzieści tysięcy złotych)</w:t>
      </w:r>
      <w:r>
        <w:rPr>
          <w:rFonts w:ascii="Times New Roman" w:hAnsi="Times New Roman"/>
          <w:sz w:val="22"/>
          <w:szCs w:val="22"/>
        </w:rPr>
        <w:t>.</w:t>
      </w:r>
    </w:p>
    <w:p w:rsidR="000C1527" w:rsidRDefault="000C1527" w:rsidP="000C1527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ZADANIE 2  Budżet Obywatelski 2019 – Muzykowanie pokoleń w dzielnicach miasta Opola.</w:t>
      </w:r>
    </w:p>
    <w:p w:rsidR="000C1527" w:rsidRPr="00BE0E66" w:rsidRDefault="000C1527" w:rsidP="0018585B">
      <w:pPr>
        <w:pStyle w:val="Bezodstpw"/>
        <w:numPr>
          <w:ilvl w:val="0"/>
          <w:numId w:val="49"/>
        </w:numPr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>Nazwa zadania publicznego: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Cs w:val="24"/>
        </w:rPr>
        <w:t>Kultura, sztuka, ochrona dóbr kultury i dziedzictwa narodowego.</w:t>
      </w:r>
    </w:p>
    <w:p w:rsidR="000C1527" w:rsidRPr="00BE0E66" w:rsidRDefault="000C1527" w:rsidP="0018585B">
      <w:pPr>
        <w:pStyle w:val="Bezodstpw"/>
        <w:numPr>
          <w:ilvl w:val="0"/>
          <w:numId w:val="49"/>
        </w:numPr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>
        <w:rPr>
          <w:rFonts w:ascii="Times New Roman" w:hAnsi="Times New Roman"/>
          <w:sz w:val="22"/>
          <w:szCs w:val="22"/>
        </w:rPr>
        <w:t xml:space="preserve">Upowszechnianie i rozwój kultury, wzbogacenie oferty kulturalnej oraz promocja wydarzeń kulturalnych Opola. </w:t>
      </w:r>
    </w:p>
    <w:p w:rsidR="0018585B" w:rsidRPr="0018585B" w:rsidRDefault="000C1527" w:rsidP="0018585B">
      <w:pPr>
        <w:pStyle w:val="Bezodstpw"/>
        <w:numPr>
          <w:ilvl w:val="0"/>
          <w:numId w:val="49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0C1527" w:rsidRDefault="000C1527" w:rsidP="0018585B">
      <w:pPr>
        <w:pStyle w:val="Bezodstpw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9D0C83">
        <w:rPr>
          <w:rFonts w:ascii="Times New Roman" w:hAnsi="Times New Roman"/>
          <w:sz w:val="22"/>
          <w:szCs w:val="22"/>
        </w:rPr>
        <w:t>Organizowanie m.in. festiwali, przeglądów, gier, prezentacji, wystaw, konkursów, plenerów, warsztatów i koncertów</w:t>
      </w:r>
      <w:r>
        <w:rPr>
          <w:rFonts w:ascii="Times New Roman" w:hAnsi="Times New Roman"/>
          <w:sz w:val="22"/>
          <w:szCs w:val="22"/>
        </w:rPr>
        <w:t>.</w:t>
      </w:r>
    </w:p>
    <w:p w:rsidR="0018585B" w:rsidRPr="009D0C83" w:rsidRDefault="0018585B" w:rsidP="0018585B">
      <w:pPr>
        <w:pStyle w:val="Bezodstpw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Wspieranie procesów edukacyjnych dzieci i młodzieży uzdolnionej artystycznie.</w:t>
      </w:r>
    </w:p>
    <w:p w:rsidR="000C1527" w:rsidRPr="00212729" w:rsidRDefault="000C1527" w:rsidP="0018585B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0C1527" w:rsidRDefault="0018585B" w:rsidP="0018585B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567" w:hanging="283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rejonu VI Opola; dzielnice: Chmielowice, Szczepanowice-Wójtowa wieś, Żerkowice, Winów.</w:t>
      </w:r>
    </w:p>
    <w:p w:rsidR="000C1527" w:rsidRPr="00212729" w:rsidRDefault="000C1527" w:rsidP="000C1527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0C1527" w:rsidRPr="00390769" w:rsidRDefault="000C1527" w:rsidP="0018585B">
      <w:pPr>
        <w:spacing w:after="11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1) zakup nieruchomości gruntowej, lokalowej, budowlanej;</w:t>
      </w:r>
    </w:p>
    <w:p w:rsidR="000C1527" w:rsidRPr="00390769" w:rsidRDefault="000C1527" w:rsidP="0018585B">
      <w:pPr>
        <w:spacing w:after="11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2) amortyzacja;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3) leasing;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4) ubezpieczenia wykraczające poza zakres realizowanego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5) rezerwy na pokrycie strat lub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6) odsetki z tytułu niezapłaconych w terminie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7) koszty wszelkich kar i grzywien;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8) nagrody, premie i inne formy bonifikaty rzeczowej lub finansowej dla osób zajmujących  się   </w:t>
      </w:r>
    </w:p>
    <w:p w:rsidR="000C1527" w:rsidRPr="00390769" w:rsidRDefault="000C1527" w:rsidP="0018585B">
      <w:pPr>
        <w:spacing w:after="11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    realizacją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9) działalność gospodarcza podmiotu;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10) działalność polityczna i religijna;</w:t>
      </w:r>
    </w:p>
    <w:p w:rsidR="000C1527" w:rsidRPr="00390769" w:rsidRDefault="000C1527" w:rsidP="0018585B">
      <w:pPr>
        <w:spacing w:after="1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390769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390769">
        <w:rPr>
          <w:rFonts w:ascii="Times New Roman" w:hAnsi="Times New Roman"/>
          <w:sz w:val="22"/>
          <w:szCs w:val="22"/>
        </w:rPr>
        <w:t xml:space="preserve">administracyjne zadania powyżej 10% wysokości otrzymanej przez organizację </w:t>
      </w:r>
    </w:p>
    <w:p w:rsidR="000C1527" w:rsidRDefault="000C1527" w:rsidP="000C1527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390769">
        <w:rPr>
          <w:rFonts w:ascii="Times New Roman" w:hAnsi="Times New Roman"/>
          <w:sz w:val="22"/>
          <w:szCs w:val="22"/>
        </w:rPr>
        <w:t xml:space="preserve">      pozarządową dotacji.</w:t>
      </w:r>
    </w:p>
    <w:p w:rsidR="000C1527" w:rsidRDefault="000C1527" w:rsidP="000C1527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</w:t>
      </w:r>
      <w:r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rzeznaczonych na powierzenie  realizacji zadania: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493478">
        <w:rPr>
          <w:rFonts w:ascii="Times New Roman" w:hAnsi="Times New Roman"/>
          <w:b/>
          <w:sz w:val="22"/>
          <w:szCs w:val="22"/>
        </w:rPr>
        <w:t xml:space="preserve"> </w:t>
      </w:r>
    </w:p>
    <w:p w:rsidR="00623439" w:rsidRDefault="0018585B" w:rsidP="000C1527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200</w:t>
      </w:r>
      <w:r w:rsidR="000C1527">
        <w:rPr>
          <w:rFonts w:ascii="Times New Roman" w:hAnsi="Times New Roman"/>
          <w:b/>
          <w:sz w:val="22"/>
          <w:szCs w:val="22"/>
        </w:rPr>
        <w:t xml:space="preserve">.000 zł </w:t>
      </w:r>
      <w:r>
        <w:rPr>
          <w:rFonts w:ascii="Times New Roman" w:hAnsi="Times New Roman"/>
          <w:sz w:val="22"/>
          <w:szCs w:val="22"/>
        </w:rPr>
        <w:t>( słownie: dwieście</w:t>
      </w:r>
      <w:r w:rsidR="000C1527" w:rsidRPr="000C1527">
        <w:rPr>
          <w:rFonts w:ascii="Times New Roman" w:hAnsi="Times New Roman"/>
          <w:sz w:val="22"/>
          <w:szCs w:val="22"/>
        </w:rPr>
        <w:t xml:space="preserve"> tysięcy złotych)</w:t>
      </w:r>
      <w:r w:rsidR="000C1527">
        <w:rPr>
          <w:rFonts w:ascii="Times New Roman" w:hAnsi="Times New Roman"/>
          <w:sz w:val="22"/>
          <w:szCs w:val="22"/>
        </w:rPr>
        <w:t>.</w:t>
      </w: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397564" w:rsidRPr="00397564" w:rsidRDefault="00D86216" w:rsidP="00397564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397564" w:rsidRPr="00397564" w:rsidRDefault="00397564" w:rsidP="00397564">
      <w:pPr>
        <w:pStyle w:val="Tekstpodstawowy21"/>
        <w:spacing w:line="240" w:lineRule="auto"/>
        <w:ind w:left="284" w:firstLine="0"/>
        <w:rPr>
          <w:rFonts w:ascii="Times New Roman" w:hAnsi="Times New Roman"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390769">
        <w:rPr>
          <w:rFonts w:ascii="Times New Roman" w:hAnsi="Times New Roman"/>
          <w:sz w:val="22"/>
          <w:szCs w:val="22"/>
        </w:rPr>
        <w:t xml:space="preserve">ego </w:t>
      </w:r>
      <w:r w:rsidR="00623439">
        <w:rPr>
          <w:rFonts w:ascii="Times New Roman" w:hAnsi="Times New Roman"/>
          <w:sz w:val="22"/>
          <w:szCs w:val="22"/>
        </w:rPr>
        <w:t>określa umowa na powierzenie</w:t>
      </w:r>
      <w:r w:rsidR="00390769">
        <w:rPr>
          <w:rFonts w:ascii="Times New Roman" w:hAnsi="Times New Roman"/>
          <w:sz w:val="22"/>
          <w:szCs w:val="22"/>
        </w:rPr>
        <w:t xml:space="preserve">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623439">
        <w:rPr>
          <w:rFonts w:ascii="Times New Roman" w:hAnsi="Times New Roman"/>
          <w:b/>
          <w:sz w:val="22"/>
          <w:szCs w:val="22"/>
        </w:rPr>
        <w:t>15</w:t>
      </w:r>
      <w:r w:rsidR="007D252F">
        <w:rPr>
          <w:rFonts w:ascii="Times New Roman" w:hAnsi="Times New Roman"/>
          <w:b/>
          <w:sz w:val="22"/>
          <w:szCs w:val="22"/>
        </w:rPr>
        <w:t>.12.2019</w:t>
      </w:r>
      <w:r w:rsidRPr="00453FDD">
        <w:rPr>
          <w:rFonts w:ascii="Times New Roman" w:hAnsi="Times New Roman"/>
          <w:b/>
          <w:sz w:val="22"/>
          <w:szCs w:val="22"/>
        </w:rPr>
        <w:t xml:space="preserve">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397564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397564">
        <w:rPr>
          <w:rFonts w:ascii="Times New Roman" w:hAnsi="Times New Roman"/>
          <w:sz w:val="22"/>
          <w:szCs w:val="22"/>
        </w:rPr>
        <w:br/>
        <w:t>21 dni od daty</w:t>
      </w:r>
      <w:r w:rsidR="00E0691F" w:rsidRPr="00397564">
        <w:rPr>
          <w:rFonts w:ascii="Times New Roman" w:hAnsi="Times New Roman"/>
          <w:sz w:val="22"/>
          <w:szCs w:val="22"/>
        </w:rPr>
        <w:t xml:space="preserve"> ostatecznego</w:t>
      </w:r>
      <w:r w:rsidRPr="00397564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 w:rsidRPr="00397564">
        <w:rPr>
          <w:rFonts w:ascii="Times New Roman" w:hAnsi="Times New Roman"/>
          <w:sz w:val="22"/>
          <w:szCs w:val="22"/>
        </w:rPr>
        <w:t xml:space="preserve"> Miasta Opola</w:t>
      </w:r>
      <w:r w:rsidRPr="00397564">
        <w:rPr>
          <w:rFonts w:ascii="Times New Roman" w:hAnsi="Times New Roman"/>
          <w:sz w:val="22"/>
          <w:szCs w:val="22"/>
        </w:rPr>
        <w:t xml:space="preserve">. </w:t>
      </w:r>
    </w:p>
    <w:p w:rsidR="0055508B" w:rsidRPr="00397564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397564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397564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397564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397564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397564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lastRenderedPageBreak/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 w:rsidRPr="00397564">
        <w:rPr>
          <w:rFonts w:ascii="Times New Roman" w:hAnsi="Times New Roman"/>
          <w:sz w:val="22"/>
          <w:szCs w:val="22"/>
        </w:rPr>
        <w:t>Krupniczej) parter - pokój nr  2</w:t>
      </w:r>
      <w:r w:rsidRPr="00397564">
        <w:rPr>
          <w:rFonts w:ascii="Times New Roman" w:hAnsi="Times New Roman"/>
          <w:sz w:val="22"/>
          <w:szCs w:val="22"/>
        </w:rPr>
        <w:t>, w poniedziałek – środa w  godzinach od 7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 xml:space="preserve"> do 15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>, w czwartek w godz. od 7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 xml:space="preserve"> do 17</w:t>
      </w:r>
      <w:r w:rsidRPr="00397564">
        <w:rPr>
          <w:rFonts w:ascii="Times New Roman" w:hAnsi="Times New Roman"/>
          <w:sz w:val="22"/>
          <w:szCs w:val="22"/>
          <w:vertAlign w:val="superscript"/>
        </w:rPr>
        <w:t>00</w:t>
      </w:r>
      <w:r w:rsidRPr="00397564">
        <w:rPr>
          <w:rFonts w:ascii="Times New Roman" w:hAnsi="Times New Roman"/>
          <w:sz w:val="22"/>
          <w:szCs w:val="22"/>
        </w:rPr>
        <w:t>,</w:t>
      </w:r>
      <w:r w:rsidRPr="00397564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397564">
        <w:rPr>
          <w:rFonts w:ascii="Times New Roman" w:hAnsi="Times New Roman"/>
          <w:sz w:val="22"/>
          <w:szCs w:val="22"/>
        </w:rPr>
        <w:t>w piątek w godz. od 7</w:t>
      </w:r>
      <w:r w:rsidRPr="00397564">
        <w:rPr>
          <w:rFonts w:ascii="Times New Roman" w:hAnsi="Times New Roman"/>
          <w:sz w:val="22"/>
          <w:szCs w:val="22"/>
          <w:vertAlign w:val="superscript"/>
        </w:rPr>
        <w:t>30</w:t>
      </w:r>
      <w:r w:rsidRPr="00397564">
        <w:rPr>
          <w:rFonts w:ascii="Times New Roman" w:hAnsi="Times New Roman"/>
          <w:sz w:val="22"/>
          <w:szCs w:val="22"/>
        </w:rPr>
        <w:t xml:space="preserve"> do 14</w:t>
      </w:r>
      <w:r w:rsidRPr="00397564">
        <w:rPr>
          <w:rFonts w:ascii="Times New Roman" w:hAnsi="Times New Roman"/>
          <w:sz w:val="22"/>
          <w:szCs w:val="22"/>
          <w:vertAlign w:val="superscript"/>
        </w:rPr>
        <w:t>00</w:t>
      </w:r>
      <w:r w:rsidRPr="00397564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Pr="00397564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 w:rsidRPr="00397564">
        <w:rPr>
          <w:rFonts w:ascii="Times New Roman" w:hAnsi="Times New Roman"/>
          <w:sz w:val="22"/>
          <w:szCs w:val="22"/>
        </w:rPr>
        <w:br/>
      </w:r>
      <w:r w:rsidRPr="00397564">
        <w:rPr>
          <w:rFonts w:ascii="Times New Roman" w:hAnsi="Times New Roman"/>
          <w:sz w:val="22"/>
          <w:szCs w:val="22"/>
        </w:rPr>
        <w:t>i w Biulety</w:t>
      </w:r>
      <w:r w:rsidR="00986E70" w:rsidRPr="00397564">
        <w:rPr>
          <w:rFonts w:ascii="Times New Roman" w:hAnsi="Times New Roman"/>
          <w:sz w:val="22"/>
          <w:szCs w:val="22"/>
        </w:rPr>
        <w:t xml:space="preserve">nie Informacji Publicznej </w:t>
      </w:r>
      <w:r w:rsidRPr="00397564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397564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</w:t>
      </w:r>
      <w:r w:rsidRPr="00397564">
        <w:rPr>
          <w:rFonts w:ascii="Times New Roman" w:hAnsi="Times New Roman"/>
          <w:sz w:val="22"/>
          <w:szCs w:val="22"/>
        </w:rPr>
        <w:t xml:space="preserve">ogłoszone niezwłocznie po wyborze ofert, na stronie internetowej Urzędu Miasta Opola </w:t>
      </w:r>
      <w:hyperlink r:id="rId10" w:history="1">
        <w:r w:rsidRPr="00397564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397564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 w:rsidRPr="00397564">
        <w:rPr>
          <w:rFonts w:ascii="Times New Roman" w:hAnsi="Times New Roman"/>
          <w:sz w:val="22"/>
          <w:szCs w:val="22"/>
        </w:rPr>
        <w:t xml:space="preserve">Miasta Opola </w:t>
      </w:r>
      <w:r w:rsidRPr="00397564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152DAD" w:rsidRPr="00397564" w:rsidRDefault="0055508B" w:rsidP="00D86216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397564">
        <w:rPr>
          <w:rFonts w:ascii="Times New Roman" w:hAnsi="Times New Roman"/>
          <w:sz w:val="22"/>
          <w:szCs w:val="22"/>
        </w:rPr>
        <w:t>W przypadku ubiega</w:t>
      </w:r>
      <w:r w:rsidR="00A74ABD" w:rsidRPr="00397564">
        <w:rPr>
          <w:rFonts w:ascii="Times New Roman" w:hAnsi="Times New Roman"/>
          <w:sz w:val="22"/>
          <w:szCs w:val="22"/>
        </w:rPr>
        <w:t>nia się o dotację na</w:t>
      </w:r>
      <w:r w:rsidR="00A74ABD">
        <w:rPr>
          <w:rFonts w:ascii="Times New Roman" w:hAnsi="Times New Roman"/>
          <w:sz w:val="22"/>
          <w:szCs w:val="22"/>
        </w:rPr>
        <w:t xml:space="preserve"> wsparcie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AB21F0">
        <w:rPr>
          <w:rFonts w:ascii="Times New Roman" w:hAnsi="Times New Roman"/>
          <w:b/>
          <w:sz w:val="22"/>
          <w:szCs w:val="22"/>
        </w:rPr>
        <w:t>latach 2017 -</w:t>
      </w:r>
      <w:r w:rsidR="00064EC7"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9C73F7" w:rsidRPr="00A74ABD" w:rsidTr="00A74ABD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F0" w:rsidRPr="00397564" w:rsidRDefault="00AB21F0" w:rsidP="00AB21F0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Polskie Stowarzyszenie Perkusyjne</w:t>
            </w:r>
          </w:p>
          <w:p w:rsidR="009C73F7" w:rsidRPr="00397564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Default="00AB21F0" w:rsidP="0025432B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„XXVI-XXVII Międzynarodowy Festiwal DRUM FEST”</w:t>
            </w:r>
          </w:p>
          <w:p w:rsidR="00623439" w:rsidRPr="00397564" w:rsidRDefault="00623439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397564" w:rsidP="00397564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 </w:t>
            </w:r>
            <w:r w:rsidR="00AB21F0" w:rsidRPr="00397564">
              <w:rPr>
                <w:rFonts w:ascii="Times New Roman" w:hAnsi="Times New Roman"/>
                <w:bCs/>
                <w:szCs w:val="22"/>
              </w:rPr>
              <w:t>300.000</w:t>
            </w:r>
          </w:p>
        </w:tc>
      </w:tr>
      <w:tr w:rsidR="009C73F7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AB21F0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  <w:sz w:val="22"/>
                <w:szCs w:val="22"/>
              </w:rPr>
              <w:t>Stowarzyszenie Opolskie Lamy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Default="00AB21F0" w:rsidP="0025432B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„15. i 16. Festiwal Filmowy Opolskie Lamy”</w:t>
            </w:r>
          </w:p>
          <w:p w:rsidR="00623439" w:rsidRPr="00397564" w:rsidRDefault="00623439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AB21F0" w:rsidP="00397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  <w:sz w:val="22"/>
                <w:szCs w:val="22"/>
              </w:rPr>
              <w:t>300.000</w:t>
            </w:r>
          </w:p>
        </w:tc>
      </w:tr>
      <w:tr w:rsidR="009C73F7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AB21F0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</w:rPr>
              <w:t xml:space="preserve">Stowarzyszenie Kulturalne Opole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Default="00AB21F0" w:rsidP="0025432B">
            <w:pPr>
              <w:rPr>
                <w:rFonts w:ascii="Times New Roman" w:hAnsi="Times New Roman"/>
              </w:rPr>
            </w:pPr>
            <w:r w:rsidRPr="00397564">
              <w:rPr>
                <w:rFonts w:ascii="Times New Roman" w:hAnsi="Times New Roman"/>
              </w:rPr>
              <w:t>„</w:t>
            </w:r>
            <w:proofErr w:type="spellStart"/>
            <w:r w:rsidRPr="00397564">
              <w:rPr>
                <w:rFonts w:ascii="Times New Roman" w:hAnsi="Times New Roman"/>
              </w:rPr>
              <w:t>Songwriters</w:t>
            </w:r>
            <w:proofErr w:type="spellEnd"/>
            <w:r w:rsidRPr="00397564">
              <w:rPr>
                <w:rFonts w:ascii="Times New Roman" w:hAnsi="Times New Roman"/>
              </w:rPr>
              <w:t xml:space="preserve"> Festiwal 2017/2018</w:t>
            </w:r>
          </w:p>
          <w:p w:rsidR="00397564" w:rsidRPr="00397564" w:rsidRDefault="00397564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AB21F0" w:rsidP="00397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  <w:sz w:val="22"/>
                <w:szCs w:val="22"/>
              </w:rPr>
              <w:t>100.000</w:t>
            </w:r>
          </w:p>
        </w:tc>
      </w:tr>
      <w:tr w:rsidR="009C73F7" w:rsidRPr="00A74ABD" w:rsidTr="004372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397564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</w:rPr>
              <w:t xml:space="preserve">Fundacja 2.8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397564" w:rsidRDefault="00397564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397564">
              <w:rPr>
                <w:rFonts w:ascii="Times New Roman" w:hAnsi="Times New Roman"/>
              </w:rPr>
              <w:t>„Organizacja 7 i 8 Opolskiego Festiwalu Fotografii”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397564" w:rsidRDefault="00397564" w:rsidP="00397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7564">
              <w:rPr>
                <w:rFonts w:ascii="Times New Roman" w:hAnsi="Times New Roman"/>
                <w:sz w:val="22"/>
                <w:szCs w:val="22"/>
              </w:rPr>
              <w:t>60.000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lastRenderedPageBreak/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7B4DD0">
              <w:rPr>
                <w:rFonts w:ascii="Times New Roman" w:hAnsi="Times New Roman"/>
                <w:sz w:val="18"/>
                <w:szCs w:val="18"/>
              </w:rPr>
              <w:t>109.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7B4DD0">
              <w:rPr>
                <w:rFonts w:ascii="Times New Roman" w:hAnsi="Times New Roman"/>
                <w:sz w:val="18"/>
                <w:szCs w:val="18"/>
              </w:rPr>
              <w:t xml:space="preserve"> 19.02.</w:t>
            </w:r>
            <w:r w:rsidR="00D37B4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B4DD0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7B4DD0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803"/>
    <w:multiLevelType w:val="hybridMultilevel"/>
    <w:tmpl w:val="0D3027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A24C7"/>
    <w:multiLevelType w:val="multilevel"/>
    <w:tmpl w:val="221C1768"/>
    <w:lvl w:ilvl="0">
      <w:start w:val="130"/>
      <w:numFmt w:val="decimal"/>
      <w:lvlText w:val="%1.0"/>
      <w:lvlJc w:val="left"/>
      <w:pPr>
        <w:ind w:left="1080" w:hanging="7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788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04" w:hanging="1440"/>
      </w:pPr>
      <w:rPr>
        <w:rFonts w:hint="default"/>
        <w:b/>
      </w:rPr>
    </w:lvl>
  </w:abstractNum>
  <w:abstractNum w:abstractNumId="3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95583A"/>
    <w:multiLevelType w:val="hybridMultilevel"/>
    <w:tmpl w:val="6F4E773A"/>
    <w:lvl w:ilvl="0" w:tplc="81E845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D149A"/>
    <w:multiLevelType w:val="hybridMultilevel"/>
    <w:tmpl w:val="388252F6"/>
    <w:lvl w:ilvl="0" w:tplc="131A2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A826564"/>
    <w:multiLevelType w:val="hybridMultilevel"/>
    <w:tmpl w:val="030EA17E"/>
    <w:lvl w:ilvl="0" w:tplc="014AD9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6207C"/>
    <w:multiLevelType w:val="multilevel"/>
    <w:tmpl w:val="FA68F35A"/>
    <w:lvl w:ilvl="0">
      <w:start w:val="130"/>
      <w:numFmt w:val="decimal"/>
      <w:lvlText w:val="%1.0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04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20">
    <w:nsid w:val="32291314"/>
    <w:multiLevelType w:val="hybridMultilevel"/>
    <w:tmpl w:val="8BFA9578"/>
    <w:lvl w:ilvl="0" w:tplc="FBBE2D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A90B74"/>
    <w:multiLevelType w:val="hybridMultilevel"/>
    <w:tmpl w:val="786893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8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F943DB"/>
    <w:multiLevelType w:val="hybridMultilevel"/>
    <w:tmpl w:val="2548A476"/>
    <w:lvl w:ilvl="0" w:tplc="C70A7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9A3D72"/>
    <w:multiLevelType w:val="hybridMultilevel"/>
    <w:tmpl w:val="E998F130"/>
    <w:lvl w:ilvl="0" w:tplc="5E16D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8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0"/>
  </w:num>
  <w:num w:numId="3">
    <w:abstractNumId w:val="38"/>
  </w:num>
  <w:num w:numId="4">
    <w:abstractNumId w:val="36"/>
  </w:num>
  <w:num w:numId="5">
    <w:abstractNumId w:val="33"/>
  </w:num>
  <w:num w:numId="6">
    <w:abstractNumId w:val="48"/>
  </w:num>
  <w:num w:numId="7">
    <w:abstractNumId w:val="43"/>
  </w:num>
  <w:num w:numId="8">
    <w:abstractNumId w:val="12"/>
  </w:num>
  <w:num w:numId="9">
    <w:abstractNumId w:val="17"/>
  </w:num>
  <w:num w:numId="10">
    <w:abstractNumId w:val="5"/>
  </w:num>
  <w:num w:numId="11">
    <w:abstractNumId w:val="31"/>
  </w:num>
  <w:num w:numId="12">
    <w:abstractNumId w:val="3"/>
  </w:num>
  <w:num w:numId="13">
    <w:abstractNumId w:val="40"/>
  </w:num>
  <w:num w:numId="14">
    <w:abstractNumId w:val="44"/>
  </w:num>
  <w:num w:numId="15">
    <w:abstractNumId w:val="26"/>
  </w:num>
  <w:num w:numId="16">
    <w:abstractNumId w:val="32"/>
  </w:num>
  <w:num w:numId="17">
    <w:abstractNumId w:val="13"/>
  </w:num>
  <w:num w:numId="18">
    <w:abstractNumId w:val="21"/>
  </w:num>
  <w:num w:numId="19">
    <w:abstractNumId w:val="16"/>
  </w:num>
  <w:num w:numId="20">
    <w:abstractNumId w:val="9"/>
  </w:num>
  <w:num w:numId="21">
    <w:abstractNumId w:val="8"/>
  </w:num>
  <w:num w:numId="22">
    <w:abstractNumId w:val="24"/>
  </w:num>
  <w:num w:numId="23">
    <w:abstractNumId w:val="18"/>
  </w:num>
  <w:num w:numId="24">
    <w:abstractNumId w:val="49"/>
  </w:num>
  <w:num w:numId="25">
    <w:abstractNumId w:val="41"/>
  </w:num>
  <w:num w:numId="26">
    <w:abstractNumId w:val="6"/>
  </w:num>
  <w:num w:numId="27">
    <w:abstractNumId w:val="37"/>
  </w:num>
  <w:num w:numId="28">
    <w:abstractNumId w:val="45"/>
  </w:num>
  <w:num w:numId="29">
    <w:abstractNumId w:val="35"/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6"/>
  </w:num>
  <w:num w:numId="34">
    <w:abstractNumId w:val="23"/>
  </w:num>
  <w:num w:numId="35">
    <w:abstractNumId w:val="27"/>
  </w:num>
  <w:num w:numId="36">
    <w:abstractNumId w:val="11"/>
  </w:num>
  <w:num w:numId="37">
    <w:abstractNumId w:val="29"/>
  </w:num>
  <w:num w:numId="38">
    <w:abstractNumId w:val="34"/>
  </w:num>
  <w:num w:numId="39">
    <w:abstractNumId w:val="7"/>
  </w:num>
  <w:num w:numId="40">
    <w:abstractNumId w:val="25"/>
  </w:num>
  <w:num w:numId="41">
    <w:abstractNumId w:val="10"/>
  </w:num>
  <w:num w:numId="42">
    <w:abstractNumId w:val="42"/>
  </w:num>
  <w:num w:numId="43">
    <w:abstractNumId w:val="15"/>
  </w:num>
  <w:num w:numId="44">
    <w:abstractNumId w:val="22"/>
  </w:num>
  <w:num w:numId="45">
    <w:abstractNumId w:val="1"/>
  </w:num>
  <w:num w:numId="46">
    <w:abstractNumId w:val="2"/>
  </w:num>
  <w:num w:numId="47">
    <w:abstractNumId w:val="20"/>
  </w:num>
  <w:num w:numId="48">
    <w:abstractNumId w:val="19"/>
  </w:num>
  <w:num w:numId="49">
    <w:abstractNumId w:val="3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4EC7"/>
    <w:rsid w:val="00066EB0"/>
    <w:rsid w:val="000724AF"/>
    <w:rsid w:val="00091253"/>
    <w:rsid w:val="000A7F36"/>
    <w:rsid w:val="000C1527"/>
    <w:rsid w:val="000C5996"/>
    <w:rsid w:val="000E2940"/>
    <w:rsid w:val="000F1FA6"/>
    <w:rsid w:val="00115AD3"/>
    <w:rsid w:val="00127C80"/>
    <w:rsid w:val="0014482C"/>
    <w:rsid w:val="00151D23"/>
    <w:rsid w:val="00152DAD"/>
    <w:rsid w:val="00166EBB"/>
    <w:rsid w:val="001767CC"/>
    <w:rsid w:val="00177024"/>
    <w:rsid w:val="0018585B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338EC"/>
    <w:rsid w:val="003830E6"/>
    <w:rsid w:val="0038660B"/>
    <w:rsid w:val="003905FB"/>
    <w:rsid w:val="00390769"/>
    <w:rsid w:val="00397564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B2CC2"/>
    <w:rsid w:val="004C0119"/>
    <w:rsid w:val="00524387"/>
    <w:rsid w:val="0055508B"/>
    <w:rsid w:val="005616F2"/>
    <w:rsid w:val="00575748"/>
    <w:rsid w:val="00593AD0"/>
    <w:rsid w:val="0059769E"/>
    <w:rsid w:val="005A1079"/>
    <w:rsid w:val="005C19B4"/>
    <w:rsid w:val="00623439"/>
    <w:rsid w:val="0065561D"/>
    <w:rsid w:val="0065640D"/>
    <w:rsid w:val="00663B3A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B4DD0"/>
    <w:rsid w:val="007C0835"/>
    <w:rsid w:val="007C7C19"/>
    <w:rsid w:val="007D252F"/>
    <w:rsid w:val="00866FDD"/>
    <w:rsid w:val="00872959"/>
    <w:rsid w:val="008735D5"/>
    <w:rsid w:val="00895F7D"/>
    <w:rsid w:val="008D4493"/>
    <w:rsid w:val="008E451C"/>
    <w:rsid w:val="0091234E"/>
    <w:rsid w:val="00953125"/>
    <w:rsid w:val="00960706"/>
    <w:rsid w:val="009626A1"/>
    <w:rsid w:val="00981ED3"/>
    <w:rsid w:val="00986E70"/>
    <w:rsid w:val="00991609"/>
    <w:rsid w:val="009A21B0"/>
    <w:rsid w:val="009A6ABD"/>
    <w:rsid w:val="009C00D4"/>
    <w:rsid w:val="009C51C1"/>
    <w:rsid w:val="009C640F"/>
    <w:rsid w:val="009C73F7"/>
    <w:rsid w:val="009D0C83"/>
    <w:rsid w:val="00A33214"/>
    <w:rsid w:val="00A5593B"/>
    <w:rsid w:val="00A628D3"/>
    <w:rsid w:val="00A67F5C"/>
    <w:rsid w:val="00A74ABD"/>
    <w:rsid w:val="00AB21F0"/>
    <w:rsid w:val="00AB5C72"/>
    <w:rsid w:val="00AD1E79"/>
    <w:rsid w:val="00AE6A04"/>
    <w:rsid w:val="00B00090"/>
    <w:rsid w:val="00B02675"/>
    <w:rsid w:val="00B105C7"/>
    <w:rsid w:val="00B307D1"/>
    <w:rsid w:val="00B52D8B"/>
    <w:rsid w:val="00B84699"/>
    <w:rsid w:val="00B97801"/>
    <w:rsid w:val="00BE0E66"/>
    <w:rsid w:val="00C166F8"/>
    <w:rsid w:val="00C55FA6"/>
    <w:rsid w:val="00C6750A"/>
    <w:rsid w:val="00C94A03"/>
    <w:rsid w:val="00CF50D0"/>
    <w:rsid w:val="00CF6177"/>
    <w:rsid w:val="00D015E5"/>
    <w:rsid w:val="00D077E0"/>
    <w:rsid w:val="00D37B4A"/>
    <w:rsid w:val="00D66D2C"/>
    <w:rsid w:val="00D80425"/>
    <w:rsid w:val="00D83C72"/>
    <w:rsid w:val="00D86216"/>
    <w:rsid w:val="00D91476"/>
    <w:rsid w:val="00DB7798"/>
    <w:rsid w:val="00E0691F"/>
    <w:rsid w:val="00E42E12"/>
    <w:rsid w:val="00E515FE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824F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0A01-86D2-442B-AD74-A90FA72A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78</cp:revision>
  <cp:lastPrinted>2019-02-12T10:43:00Z</cp:lastPrinted>
  <dcterms:created xsi:type="dcterms:W3CDTF">2018-07-05T10:58:00Z</dcterms:created>
  <dcterms:modified xsi:type="dcterms:W3CDTF">2019-02-20T06:48:00Z</dcterms:modified>
</cp:coreProperties>
</file>